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C2C" w:rsidRDefault="00504355" w:rsidP="00504355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04355">
        <w:rPr>
          <w:rFonts w:asciiTheme="majorBidi" w:hAnsiTheme="majorBidi" w:cstheme="majorBidi"/>
          <w:b/>
          <w:bCs/>
          <w:sz w:val="28"/>
          <w:szCs w:val="28"/>
        </w:rPr>
        <w:t>Conclusion générale</w:t>
      </w:r>
    </w:p>
    <w:p w:rsidR="00504355" w:rsidRDefault="00C85AB6" w:rsidP="00AD4361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="00504355">
        <w:rPr>
          <w:rFonts w:asciiTheme="majorBidi" w:hAnsiTheme="majorBidi" w:cstheme="majorBidi"/>
          <w:sz w:val="24"/>
          <w:szCs w:val="24"/>
        </w:rPr>
        <w:t xml:space="preserve">L’étude que nous avons fait sur la région de Chemora nous a permis de faire une approche quant à la connaissance des aquifères existants, leurs paramètres hydrogéologiques et les foyers de </w:t>
      </w:r>
      <w:r w:rsidR="00FD616E">
        <w:rPr>
          <w:rFonts w:asciiTheme="majorBidi" w:hAnsiTheme="majorBidi" w:cstheme="majorBidi"/>
          <w:sz w:val="24"/>
          <w:szCs w:val="24"/>
        </w:rPr>
        <w:t>pollution.</w:t>
      </w:r>
    </w:p>
    <w:p w:rsidR="00C85AB6" w:rsidRDefault="00C85AB6" w:rsidP="0050435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Les observations et les résultats que nous avons obtenus sont résumés comme suit :</w:t>
      </w:r>
    </w:p>
    <w:p w:rsidR="00C85AB6" w:rsidRDefault="00C85AB6" w:rsidP="00C85AB6">
      <w:pPr>
        <w:tabs>
          <w:tab w:val="left" w:pos="709"/>
        </w:tabs>
        <w:spacing w:after="24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Pr="00205068">
        <w:rPr>
          <w:rFonts w:asciiTheme="majorBidi" w:hAnsiTheme="majorBidi" w:cstheme="majorBidi"/>
          <w:sz w:val="24"/>
          <w:szCs w:val="24"/>
        </w:rPr>
        <w:t>L’étude géomorphologique de la région de Chemora est le siège d’une dépression entourée par des reliefs.</w:t>
      </w:r>
    </w:p>
    <w:p w:rsidR="00C85AB6" w:rsidRDefault="00C85AB6" w:rsidP="00C85AB6">
      <w:pPr>
        <w:tabs>
          <w:tab w:val="left" w:pos="709"/>
        </w:tabs>
        <w:spacing w:after="24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Pr="00205068">
        <w:rPr>
          <w:rFonts w:asciiTheme="majorBidi" w:hAnsiTheme="majorBidi" w:cstheme="majorBidi"/>
          <w:sz w:val="24"/>
          <w:szCs w:val="24"/>
        </w:rPr>
        <w:t>L’étude géologique, nous a permis de mettre en évidence trois principales formations géologiques susceptibles d’être aquifères :</w:t>
      </w:r>
    </w:p>
    <w:p w:rsidR="00C85AB6" w:rsidRDefault="00C85AB6" w:rsidP="00C85AB6">
      <w:pPr>
        <w:pStyle w:val="Paragraphedeliste"/>
        <w:numPr>
          <w:ilvl w:val="0"/>
          <w:numId w:val="1"/>
        </w:numPr>
        <w:tabs>
          <w:tab w:val="left" w:pos="709"/>
        </w:tabs>
        <w:spacing w:after="24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D278C">
        <w:rPr>
          <w:rFonts w:asciiTheme="majorBidi" w:hAnsiTheme="majorBidi" w:cstheme="majorBidi"/>
          <w:sz w:val="24"/>
          <w:szCs w:val="24"/>
        </w:rPr>
        <w:t>Les formations du Quaternaire-détritiques constituées de galets et de graviers.</w:t>
      </w:r>
    </w:p>
    <w:p w:rsidR="00C85AB6" w:rsidRDefault="00C85AB6" w:rsidP="00C85AB6">
      <w:pPr>
        <w:pStyle w:val="Paragraphedeliste"/>
        <w:numPr>
          <w:ilvl w:val="0"/>
          <w:numId w:val="1"/>
        </w:numPr>
        <w:tabs>
          <w:tab w:val="left" w:pos="709"/>
        </w:tabs>
        <w:spacing w:after="24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Les formations du Crétacé supérieur</w:t>
      </w:r>
    </w:p>
    <w:p w:rsidR="00C85AB6" w:rsidRDefault="00C85AB6" w:rsidP="00C85AB6">
      <w:pPr>
        <w:pStyle w:val="Paragraphedeliste"/>
        <w:numPr>
          <w:ilvl w:val="0"/>
          <w:numId w:val="1"/>
        </w:numPr>
        <w:tabs>
          <w:tab w:val="left" w:pos="709"/>
        </w:tabs>
        <w:spacing w:after="24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Les formations du Crétacé inférieur- Aptien calcaro dolmomitique du Djebel Bouarif et du Djebel Fedjoudj.</w:t>
      </w:r>
    </w:p>
    <w:p w:rsidR="00C85AB6" w:rsidRDefault="00C85AB6" w:rsidP="00C85AB6">
      <w:pPr>
        <w:tabs>
          <w:tab w:val="left" w:pos="709"/>
        </w:tabs>
        <w:spacing w:after="24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05068">
        <w:rPr>
          <w:rFonts w:asciiTheme="majorBidi" w:hAnsiTheme="majorBidi" w:cstheme="majorBidi"/>
          <w:sz w:val="24"/>
          <w:szCs w:val="24"/>
        </w:rPr>
        <w:t>L’étude</w:t>
      </w:r>
      <w:r>
        <w:rPr>
          <w:rFonts w:asciiTheme="majorBidi" w:hAnsiTheme="majorBidi" w:cstheme="majorBidi"/>
          <w:sz w:val="24"/>
          <w:szCs w:val="24"/>
        </w:rPr>
        <w:t xml:space="preserve"> hydroclimatologique montre que</w:t>
      </w:r>
      <w:r w:rsidRPr="00C85AB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Le climat de la zone d’étude est de type semi-aride avec un hiver froid et humide et un été chaud et sec, avec :</w:t>
      </w:r>
    </w:p>
    <w:p w:rsidR="00C85AB6" w:rsidRPr="00C85AB6" w:rsidRDefault="00C85AB6" w:rsidP="00C85AB6">
      <w:pPr>
        <w:pStyle w:val="Paragraphedeliste"/>
        <w:numPr>
          <w:ilvl w:val="0"/>
          <w:numId w:val="4"/>
        </w:numPr>
        <w:tabs>
          <w:tab w:val="left" w:pos="709"/>
        </w:tabs>
        <w:spacing w:after="24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85AB6">
        <w:rPr>
          <w:rFonts w:asciiTheme="majorBidi" w:hAnsiTheme="majorBidi" w:cstheme="majorBidi"/>
          <w:sz w:val="24"/>
          <w:szCs w:val="24"/>
        </w:rPr>
        <w:t>La température moyenne annuelle est de l’ordre 13.23°C .</w:t>
      </w:r>
    </w:p>
    <w:p w:rsidR="00C85AB6" w:rsidRDefault="00C85AB6" w:rsidP="00C85AB6">
      <w:pPr>
        <w:numPr>
          <w:ilvl w:val="0"/>
          <w:numId w:val="2"/>
        </w:numPr>
        <w:spacing w:after="0" w:line="360" w:lineRule="auto"/>
        <w:jc w:val="both"/>
        <w:rPr>
          <w:rFonts w:asciiTheme="majorBidi" w:hAnsiTheme="majorBidi" w:cstheme="majorBidi"/>
          <w:sz w:val="24"/>
        </w:rPr>
      </w:pPr>
      <w:r w:rsidRPr="00AC613C">
        <w:rPr>
          <w:rFonts w:asciiTheme="majorBidi" w:hAnsiTheme="majorBidi" w:cstheme="majorBidi"/>
          <w:sz w:val="24"/>
        </w:rPr>
        <w:t>La précipitation moyenne est de l’ordre de 236 mm/an;</w:t>
      </w:r>
    </w:p>
    <w:p w:rsidR="00C85AB6" w:rsidRDefault="00C85AB6" w:rsidP="00C85AB6">
      <w:pPr>
        <w:numPr>
          <w:ilvl w:val="0"/>
          <w:numId w:val="2"/>
        </w:numPr>
        <w:spacing w:after="240" w:line="360" w:lineRule="auto"/>
        <w:jc w:val="both"/>
        <w:rPr>
          <w:rFonts w:asciiTheme="majorBidi" w:hAnsiTheme="majorBidi" w:cstheme="majorBidi"/>
          <w:sz w:val="24"/>
        </w:rPr>
      </w:pPr>
      <w:r w:rsidRPr="00AC613C">
        <w:rPr>
          <w:rFonts w:asciiTheme="majorBidi" w:hAnsiTheme="majorBidi" w:cstheme="majorBidi"/>
          <w:sz w:val="24"/>
        </w:rPr>
        <w:t xml:space="preserve">L’évapotranspiration réelle moyenne est de l’ordre de 236 mm soit 100 </w:t>
      </w:r>
      <w:r w:rsidRPr="00AC613C">
        <w:rPr>
          <w:rFonts w:asciiTheme="majorBidi" w:hAnsiTheme="majorBidi" w:cstheme="majorBidi"/>
          <w:sz w:val="24"/>
        </w:rPr>
        <w:sym w:font="Symbol" w:char="F025"/>
      </w:r>
      <w:r w:rsidRPr="00AC613C">
        <w:rPr>
          <w:rFonts w:asciiTheme="majorBidi" w:hAnsiTheme="majorBidi" w:cstheme="majorBidi"/>
          <w:sz w:val="24"/>
        </w:rPr>
        <w:t xml:space="preserve"> des précipitations moyennes annuelles (selon  la méthode de </w:t>
      </w:r>
      <w:r w:rsidRPr="00AC613C">
        <w:rPr>
          <w:rFonts w:asciiTheme="majorBidi" w:hAnsiTheme="majorBidi" w:cstheme="majorBidi"/>
        </w:rPr>
        <w:t>THORNTHWAITE</w:t>
      </w:r>
      <w:r w:rsidRPr="00AC613C">
        <w:rPr>
          <w:rFonts w:asciiTheme="majorBidi" w:hAnsiTheme="majorBidi" w:cstheme="majorBidi"/>
          <w:sz w:val="24"/>
        </w:rPr>
        <w:t xml:space="preserve"> et </w:t>
      </w:r>
      <w:r>
        <w:rPr>
          <w:rFonts w:asciiTheme="majorBidi" w:hAnsiTheme="majorBidi" w:cstheme="majorBidi"/>
        </w:rPr>
        <w:t>ANRH (2002)</w:t>
      </w:r>
      <w:r w:rsidRPr="00AC613C">
        <w:rPr>
          <w:rFonts w:asciiTheme="majorBidi" w:hAnsiTheme="majorBidi" w:cstheme="majorBidi"/>
        </w:rPr>
        <w:t>.</w:t>
      </w:r>
    </w:p>
    <w:p w:rsidR="00C85AB6" w:rsidRDefault="00C85AB6" w:rsidP="00C85AB6">
      <w:pPr>
        <w:spacing w:after="24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L’étude hydrogéologique de la plaine de Chemora nous a permis de mettre  en évidence trois zones d’alimentation par les précipitations efficaces relatives aux djebel Fedjoudj, Bouarif, et Amrane.</w:t>
      </w:r>
    </w:p>
    <w:p w:rsidR="00504355" w:rsidRPr="006959D0" w:rsidRDefault="00C85AB6" w:rsidP="006959D0">
      <w:pPr>
        <w:spacing w:after="240" w:line="360" w:lineRule="auto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  L’étude hydrochimique montre que les eaux </w:t>
      </w:r>
      <w:r w:rsidR="00DA469D">
        <w:rPr>
          <w:rFonts w:asciiTheme="majorBidi" w:hAnsiTheme="majorBidi" w:cstheme="majorBidi"/>
          <w:sz w:val="24"/>
        </w:rPr>
        <w:t xml:space="preserve">souterraines de </w:t>
      </w:r>
      <w:r w:rsidR="00DA469D">
        <w:rPr>
          <w:rFonts w:asciiTheme="majorBidi" w:hAnsiTheme="majorBidi" w:cstheme="majorBidi"/>
          <w:sz w:val="24"/>
          <w:szCs w:val="24"/>
        </w:rPr>
        <w:t>plaine de Chemora ont une tendance sulfaté calcique et magnésienne selon les diagrammes de PIPER et  SCHOELLER-BERKALOUFF et d’après  l’interprétation des cartes on conclut que ces eaux sont polluées</w:t>
      </w:r>
      <w:r w:rsidR="006959D0">
        <w:rPr>
          <w:rFonts w:asciiTheme="majorBidi" w:hAnsiTheme="majorBidi" w:cstheme="majorBidi"/>
          <w:sz w:val="24"/>
          <w:szCs w:val="24"/>
        </w:rPr>
        <w:t xml:space="preserve"> surtout le nitrate donc il faut protéger les eaux souterraines de la plaine car le nitrate est un élément nocive.  </w:t>
      </w:r>
      <w:r w:rsidR="00DA469D">
        <w:rPr>
          <w:rFonts w:asciiTheme="majorBidi" w:hAnsiTheme="majorBidi" w:cstheme="majorBidi"/>
          <w:sz w:val="24"/>
          <w:szCs w:val="24"/>
        </w:rPr>
        <w:t xml:space="preserve">  </w:t>
      </w:r>
    </w:p>
    <w:sectPr w:rsidR="00504355" w:rsidRPr="006959D0" w:rsidSect="00403C2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B6E" w:rsidRDefault="00294B6E" w:rsidP="00504355">
      <w:pPr>
        <w:spacing w:after="0" w:line="240" w:lineRule="auto"/>
      </w:pPr>
      <w:r>
        <w:separator/>
      </w:r>
    </w:p>
  </w:endnote>
  <w:endnote w:type="continuationSeparator" w:id="1">
    <w:p w:rsidR="00294B6E" w:rsidRDefault="00294B6E" w:rsidP="00504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B6E" w:rsidRDefault="00294B6E" w:rsidP="00504355">
      <w:pPr>
        <w:spacing w:after="0" w:line="240" w:lineRule="auto"/>
      </w:pPr>
      <w:r>
        <w:separator/>
      </w:r>
    </w:p>
  </w:footnote>
  <w:footnote w:type="continuationSeparator" w:id="1">
    <w:p w:rsidR="00294B6E" w:rsidRDefault="00294B6E" w:rsidP="005043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845C2F841A59463194B0FDE0FA77A43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04355" w:rsidRDefault="00FD616E" w:rsidP="00504355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Conclusion générale</w:t>
        </w:r>
      </w:p>
    </w:sdtContent>
  </w:sdt>
  <w:p w:rsidR="00504355" w:rsidRDefault="00504355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935"/>
      </v:shape>
    </w:pict>
  </w:numPicBullet>
  <w:abstractNum w:abstractNumId="0">
    <w:nsid w:val="20367D0B"/>
    <w:multiLevelType w:val="hybridMultilevel"/>
    <w:tmpl w:val="C45E05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D2787"/>
    <w:multiLevelType w:val="hybridMultilevel"/>
    <w:tmpl w:val="D348107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950256"/>
    <w:multiLevelType w:val="hybridMultilevel"/>
    <w:tmpl w:val="B40CCBF2"/>
    <w:lvl w:ilvl="0" w:tplc="040C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8616C77"/>
    <w:multiLevelType w:val="hybridMultilevel"/>
    <w:tmpl w:val="D45AFA2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2C0001"/>
    <w:multiLevelType w:val="hybridMultilevel"/>
    <w:tmpl w:val="AAEC9F42"/>
    <w:lvl w:ilvl="0" w:tplc="040C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4355"/>
    <w:rsid w:val="00294B6E"/>
    <w:rsid w:val="00403C2C"/>
    <w:rsid w:val="00504355"/>
    <w:rsid w:val="006959D0"/>
    <w:rsid w:val="008F2314"/>
    <w:rsid w:val="00986FB3"/>
    <w:rsid w:val="00AD4361"/>
    <w:rsid w:val="00C85AB6"/>
    <w:rsid w:val="00DA469D"/>
    <w:rsid w:val="00FD6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043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4355"/>
  </w:style>
  <w:style w:type="paragraph" w:styleId="Pieddepage">
    <w:name w:val="footer"/>
    <w:basedOn w:val="Normal"/>
    <w:link w:val="PieddepageCar"/>
    <w:uiPriority w:val="99"/>
    <w:semiHidden/>
    <w:unhideWhenUsed/>
    <w:rsid w:val="005043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04355"/>
  </w:style>
  <w:style w:type="paragraph" w:styleId="Textedebulles">
    <w:name w:val="Balloon Text"/>
    <w:basedOn w:val="Normal"/>
    <w:link w:val="TextedebullesCar"/>
    <w:uiPriority w:val="99"/>
    <w:semiHidden/>
    <w:unhideWhenUsed/>
    <w:rsid w:val="0050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435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85AB6"/>
    <w:pPr>
      <w:spacing w:after="0" w:line="240" w:lineRule="auto"/>
      <w:ind w:left="720"/>
      <w:contextualSpacing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45C2F841A59463194B0FDE0FA77A4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FFD8CC-82A4-45DB-B668-2CCA7AF3D7F6}"/>
      </w:docPartPr>
      <w:docPartBody>
        <w:p w:rsidR="00632B43" w:rsidRDefault="00292ACB" w:rsidP="00292ACB">
          <w:pPr>
            <w:pStyle w:val="845C2F841A59463194B0FDE0FA77A43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92ACB"/>
    <w:rsid w:val="00292ACB"/>
    <w:rsid w:val="00632B43"/>
    <w:rsid w:val="00DD0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B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45C2F841A59463194B0FDE0FA77A43D">
    <w:name w:val="845C2F841A59463194B0FDE0FA77A43D"/>
    <w:rsid w:val="00292AC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Conclusion générale</dc:title>
  <dc:creator>chadi</dc:creator>
  <cp:lastModifiedBy>chadi</cp:lastModifiedBy>
  <cp:revision>4</cp:revision>
  <dcterms:created xsi:type="dcterms:W3CDTF">2013-06-12T06:52:00Z</dcterms:created>
  <dcterms:modified xsi:type="dcterms:W3CDTF">2013-06-12T10:29:00Z</dcterms:modified>
</cp:coreProperties>
</file>